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9A3FD1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9A3FD1">
        <w:rPr>
          <w:b/>
          <w:sz w:val="26"/>
          <w:szCs w:val="26"/>
        </w:rPr>
        <w:t>Информация о результатах проведения контрольного мероприятия</w:t>
      </w:r>
    </w:p>
    <w:p w:rsidR="005874C8" w:rsidRPr="009A3FD1" w:rsidRDefault="009A3FD1" w:rsidP="005874C8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A3FD1">
        <w:rPr>
          <w:b/>
          <w:sz w:val="26"/>
          <w:szCs w:val="26"/>
        </w:rPr>
        <w:t>«Проверка законности и эффективности использования бюджетных средств, предоставленных в 2021-2023 гг. (истекший период) на реализацию мероприятий государственной программы «Переселение граждан из аварийного жилищного фонда на территории Нижегородской области на 2019-2023 гг.» (параллельно с Контрольно-счетной палатой Нижегородской области)</w:t>
      </w:r>
    </w:p>
    <w:p w:rsid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9A3FD1">
        <w:rPr>
          <w:b/>
          <w:sz w:val="26"/>
          <w:szCs w:val="26"/>
        </w:rPr>
        <w:t xml:space="preserve">Основание для проведения контрольного мероприятия: </w:t>
      </w:r>
    </w:p>
    <w:p w:rsidR="009A3FD1" w:rsidRPr="009A3FD1" w:rsidRDefault="009A3FD1" w:rsidP="009A3FD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A3FD1">
        <w:rPr>
          <w:sz w:val="26"/>
          <w:szCs w:val="26"/>
        </w:rPr>
        <w:t xml:space="preserve">-Закон Нижегородской области от 08.10.2010 г. № 156-З «О контрольно-счетной палате Нижегородской области»; </w:t>
      </w:r>
    </w:p>
    <w:p w:rsidR="009A3FD1" w:rsidRPr="009A3FD1" w:rsidRDefault="009A3FD1" w:rsidP="009A3FD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A3FD1">
        <w:rPr>
          <w:sz w:val="26"/>
          <w:szCs w:val="26"/>
        </w:rPr>
        <w:t xml:space="preserve">-пункт 1.24 плана работы контрольно-счетной палаты Нижегородской области на 2023 год, утвержденного решением Коллегии контрольно-счетной палаты Нижегородской области от 23.12.2021 № 32; </w:t>
      </w:r>
    </w:p>
    <w:p w:rsidR="009A3FD1" w:rsidRPr="009A3FD1" w:rsidRDefault="009A3FD1" w:rsidP="009A3FD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A3FD1">
        <w:rPr>
          <w:sz w:val="26"/>
          <w:szCs w:val="26"/>
        </w:rPr>
        <w:t xml:space="preserve">-пункт 17 плана работы контрольно-счетной палаты города Дзержинска на 2023 год, утвержденного распоряжением председателя контрольно-счетной палаты города Дзержинска от 23.12.2022 №50, </w:t>
      </w:r>
    </w:p>
    <w:p w:rsidR="009A3FD1" w:rsidRPr="009A3FD1" w:rsidRDefault="009A3FD1" w:rsidP="009A3FD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A3FD1">
        <w:rPr>
          <w:sz w:val="26"/>
          <w:szCs w:val="26"/>
        </w:rPr>
        <w:t>-распоряжение председателя контрольно-счетной палаты города Дзержинска от 14.11.2023 №39,</w:t>
      </w:r>
    </w:p>
    <w:p w:rsidR="009A3FD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A3FD1">
        <w:rPr>
          <w:b/>
          <w:sz w:val="26"/>
          <w:szCs w:val="26"/>
        </w:rPr>
        <w:t>Объект контрольного мероприятия</w:t>
      </w:r>
      <w:r w:rsidR="00A8570C" w:rsidRPr="009A3FD1">
        <w:rPr>
          <w:sz w:val="26"/>
          <w:szCs w:val="26"/>
        </w:rPr>
        <w:t xml:space="preserve">: </w:t>
      </w:r>
      <w:r w:rsidR="009A3FD1" w:rsidRPr="009A3FD1">
        <w:rPr>
          <w:sz w:val="26"/>
          <w:szCs w:val="26"/>
        </w:rPr>
        <w:t xml:space="preserve">Администрация городского округа город Дзержинск </w:t>
      </w:r>
    </w:p>
    <w:p w:rsidR="00AB08C9" w:rsidRPr="009A3FD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A3FD1">
        <w:rPr>
          <w:b/>
          <w:sz w:val="26"/>
          <w:szCs w:val="26"/>
        </w:rPr>
        <w:t>Проверяемый период деятельности</w:t>
      </w:r>
      <w:r w:rsidR="00C74C1F" w:rsidRPr="009A3FD1">
        <w:rPr>
          <w:sz w:val="26"/>
          <w:szCs w:val="26"/>
        </w:rPr>
        <w:t>:</w:t>
      </w:r>
      <w:r w:rsidR="009A3FD1">
        <w:rPr>
          <w:sz w:val="26"/>
          <w:szCs w:val="26"/>
        </w:rPr>
        <w:t xml:space="preserve"> </w:t>
      </w:r>
      <w:r w:rsidRPr="009A3FD1">
        <w:rPr>
          <w:sz w:val="26"/>
          <w:szCs w:val="26"/>
        </w:rPr>
        <w:t xml:space="preserve"> </w:t>
      </w:r>
      <w:r w:rsidR="009A3FD1" w:rsidRPr="009A3FD1">
        <w:rPr>
          <w:sz w:val="26"/>
          <w:szCs w:val="26"/>
        </w:rPr>
        <w:t>2021 г., 2022 г. истекший период 2023 г.</w:t>
      </w:r>
    </w:p>
    <w:p w:rsidR="009A3FD1" w:rsidRDefault="00AB08C9" w:rsidP="009A3FD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9A3FD1">
        <w:rPr>
          <w:b/>
          <w:sz w:val="26"/>
          <w:szCs w:val="26"/>
        </w:rPr>
        <w:t>Предмет контрольного мероприятия</w:t>
      </w:r>
      <w:r w:rsidRPr="009A3FD1">
        <w:rPr>
          <w:bCs/>
          <w:sz w:val="26"/>
          <w:szCs w:val="26"/>
        </w:rPr>
        <w:t xml:space="preserve">: </w:t>
      </w:r>
      <w:r w:rsidR="009A3FD1" w:rsidRPr="009A3FD1">
        <w:rPr>
          <w:bCs/>
          <w:sz w:val="26"/>
          <w:szCs w:val="26"/>
        </w:rPr>
        <w:t>Деятельность Администрации города Дзержинска  по реализации мероприятий государственной адресной программы «Переселение граждан из аварийного жилищного фонда на территории Нижегородской области на 2019-2023 годы», регионального проекта «Обеспечение устойчивого сокращения непригодного для проживания жилищного фонда».</w:t>
      </w:r>
    </w:p>
    <w:p w:rsidR="00AB08C9" w:rsidRDefault="00AB08C9" w:rsidP="009A3F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9A3FD1">
        <w:rPr>
          <w:b/>
          <w:sz w:val="26"/>
          <w:szCs w:val="26"/>
        </w:rPr>
        <w:t>Цель контрольного мероприятия</w:t>
      </w:r>
      <w:r w:rsidRPr="009A3FD1">
        <w:rPr>
          <w:sz w:val="26"/>
          <w:szCs w:val="26"/>
        </w:rPr>
        <w:t xml:space="preserve">: </w:t>
      </w:r>
      <w:r w:rsidR="009A3FD1" w:rsidRPr="009A3FD1">
        <w:rPr>
          <w:sz w:val="26"/>
          <w:szCs w:val="26"/>
          <w:shd w:val="clear" w:color="auto" w:fill="FFFFFF"/>
        </w:rPr>
        <w:t>Проверка законности и эффективности использования бюджетных средств, предоставленных в 2021-2023 гг. (истекший период) на реализацию мероприятий государственной программы «Переселение граждан из аварийного жилищного фонда на территории Нижегородской области на 2019-2023 годы», регионального проекта «Обеспечение устойчивого сокращения непригодного для проживания жилищного фонда».</w:t>
      </w:r>
    </w:p>
    <w:p w:rsidR="00AB08C9" w:rsidRPr="009A3FD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A3FD1">
        <w:rPr>
          <w:b/>
          <w:sz w:val="26"/>
          <w:szCs w:val="26"/>
        </w:rPr>
        <w:t>Метод проведения контрольного мероприятия</w:t>
      </w:r>
      <w:r w:rsidRPr="009A3FD1">
        <w:rPr>
          <w:sz w:val="26"/>
          <w:szCs w:val="26"/>
        </w:rPr>
        <w:t>: выборочная проверка данных, содержащихся в докуме</w:t>
      </w:r>
      <w:r w:rsidR="00C74C1F" w:rsidRPr="009A3FD1">
        <w:rPr>
          <w:sz w:val="26"/>
          <w:szCs w:val="26"/>
        </w:rPr>
        <w:t>нтах, предоставленных сотрудникам</w:t>
      </w:r>
      <w:r w:rsidRPr="009A3FD1">
        <w:rPr>
          <w:sz w:val="26"/>
          <w:szCs w:val="26"/>
        </w:rPr>
        <w:t xml:space="preserve"> контрольно-счетной палаты города Дзержинска.</w:t>
      </w:r>
    </w:p>
    <w:p w:rsidR="005874C8" w:rsidRPr="009A3FD1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A3FD1">
        <w:rPr>
          <w:b/>
          <w:sz w:val="26"/>
          <w:szCs w:val="26"/>
        </w:rPr>
        <w:t>Сроки проведения контрольного мероприятия</w:t>
      </w:r>
      <w:r w:rsidR="00AA6FB4" w:rsidRPr="009A3FD1">
        <w:rPr>
          <w:sz w:val="26"/>
          <w:szCs w:val="26"/>
        </w:rPr>
        <w:t>: с</w:t>
      </w:r>
      <w:r w:rsidR="002F7C8A">
        <w:rPr>
          <w:sz w:val="26"/>
          <w:szCs w:val="26"/>
        </w:rPr>
        <w:t xml:space="preserve"> 21</w:t>
      </w:r>
      <w:r w:rsidR="0059134C" w:rsidRPr="009A3FD1">
        <w:rPr>
          <w:sz w:val="26"/>
          <w:szCs w:val="26"/>
        </w:rPr>
        <w:t>.</w:t>
      </w:r>
      <w:r w:rsidR="002F7C8A">
        <w:rPr>
          <w:sz w:val="26"/>
          <w:szCs w:val="26"/>
        </w:rPr>
        <w:t>11.2023 по 26.12</w:t>
      </w:r>
      <w:r w:rsidRPr="009A3FD1">
        <w:rPr>
          <w:sz w:val="26"/>
          <w:szCs w:val="26"/>
        </w:rPr>
        <w:t>.202</w:t>
      </w:r>
      <w:r w:rsidR="001D32F3" w:rsidRPr="009A3FD1">
        <w:rPr>
          <w:sz w:val="26"/>
          <w:szCs w:val="26"/>
        </w:rPr>
        <w:t>3</w:t>
      </w:r>
      <w:r w:rsidR="0059134C" w:rsidRPr="009A3FD1">
        <w:rPr>
          <w:sz w:val="26"/>
          <w:szCs w:val="26"/>
        </w:rPr>
        <w:t>.</w:t>
      </w:r>
    </w:p>
    <w:p w:rsidR="00AB08C9" w:rsidRDefault="00AB08C9" w:rsidP="00AB08C9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9A3FD1">
        <w:rPr>
          <w:sz w:val="26"/>
          <w:szCs w:val="26"/>
        </w:rPr>
        <w:t xml:space="preserve">В ходе </w:t>
      </w:r>
      <w:r w:rsidR="00FA7E5E">
        <w:rPr>
          <w:sz w:val="26"/>
          <w:szCs w:val="26"/>
        </w:rPr>
        <w:t>проведения контрольного мероприятия установлено следующее: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1.</w:t>
      </w:r>
      <w:r w:rsidRPr="00FA7E5E">
        <w:rPr>
          <w:spacing w:val="-1"/>
          <w:sz w:val="26"/>
          <w:szCs w:val="26"/>
        </w:rPr>
        <w:tab/>
        <w:t>Очередность расселения многоквартирных домов в рамках Программы определялась исходя из даты признания таких домов аварийными. Внеочередное расселение производилось в соответствии с решением, принятым на заседании комиссии по предупреждению и ликвидации чрезвычайных ситуаций.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lastRenderedPageBreak/>
        <w:t>2.</w:t>
      </w:r>
      <w:r w:rsidRPr="00FA7E5E">
        <w:rPr>
          <w:spacing w:val="-1"/>
          <w:sz w:val="26"/>
          <w:szCs w:val="26"/>
        </w:rPr>
        <w:tab/>
        <w:t>Администрацией гор. Дзержинска обеспечено своевременное предоставление отчетов предусмотренных соглашениями, заключенными с Министерством строительства Нижегородской области.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3.</w:t>
      </w:r>
      <w:r w:rsidRPr="00FA7E5E">
        <w:rPr>
          <w:spacing w:val="-1"/>
          <w:sz w:val="26"/>
          <w:szCs w:val="26"/>
        </w:rPr>
        <w:tab/>
        <w:t xml:space="preserve">Распределение приобретаемых по заключенным муниципальным контрактам жилых помещений между гражданами в рамках ГП «Переселение граждан…» производилось на основании  решений органа местного самоуправления и заключенных письменных соглашений с гражданами – собственниками. 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4.</w:t>
      </w:r>
      <w:r w:rsidRPr="00FA7E5E">
        <w:rPr>
          <w:spacing w:val="-1"/>
          <w:sz w:val="26"/>
          <w:szCs w:val="26"/>
        </w:rPr>
        <w:tab/>
        <w:t>Стоимость одного кв.м. жилого помещения, применяемая для расчета начальной цены контрактов не превышает среднюю рыночную стоимость 1 кв. метра жилья на вторичном рынке жилья в городе Дзержинске по данным Министерства градостроительной деятельности и развития агломераций Нижегородской области за квартал, предшествующий кварталу размещения конкурсной (аукционной) документации.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5.</w:t>
      </w:r>
      <w:r w:rsidRPr="00FA7E5E">
        <w:rPr>
          <w:spacing w:val="-1"/>
          <w:sz w:val="26"/>
          <w:szCs w:val="26"/>
        </w:rPr>
        <w:tab/>
        <w:t>За период реализации ГП «Переселение граждан…», по состоянию на 23.11.2023 расселено помещений, признанных аварийными общей площадью 5013,28 кв.м., приобретено жилых помещений общей площадью 5 549,60 кв.м. на общую сумму 343 350 657,96 руб. Количество переселенных граждан составило 321 чел.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6.</w:t>
      </w:r>
      <w:r w:rsidRPr="00FA7E5E">
        <w:rPr>
          <w:spacing w:val="-1"/>
          <w:sz w:val="26"/>
          <w:szCs w:val="26"/>
        </w:rPr>
        <w:tab/>
        <w:t>В ходе проверки выявлено, что размер выкупной стоимости, определенный соглашением, заключенным с собственником жилого помещения,  был рассчитан без учета положений ч.8.2. ст.32 ЖК РФ.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7.</w:t>
      </w:r>
      <w:r w:rsidRPr="00FA7E5E">
        <w:rPr>
          <w:spacing w:val="-1"/>
          <w:sz w:val="26"/>
          <w:szCs w:val="26"/>
        </w:rPr>
        <w:tab/>
        <w:t>На дату подписания соглашения об изъятии с собственником жилого помещения, срок отчета об оценке  превысил 6 месяцев с даты его составления.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8.</w:t>
      </w:r>
      <w:r w:rsidRPr="00FA7E5E">
        <w:rPr>
          <w:spacing w:val="-1"/>
          <w:sz w:val="26"/>
          <w:szCs w:val="26"/>
        </w:rPr>
        <w:tab/>
        <w:t xml:space="preserve">Требования к жилым помещениям, содержащиеся в проектах контрактах и подписанных контрактах установлены с учетом рекомендаций, содержащихся в разделе 3 ГП «Переселение граждан…». 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9.</w:t>
      </w:r>
      <w:r w:rsidRPr="00FA7E5E">
        <w:rPr>
          <w:spacing w:val="-1"/>
          <w:sz w:val="26"/>
          <w:szCs w:val="26"/>
        </w:rPr>
        <w:tab/>
        <w:t>В целях проверки предоставленных жилых помещений, предусмотренных контрактом, в части их соответствия условиям контракта проводилась экспертиза, оформленная заключением.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10.</w:t>
      </w:r>
      <w:r w:rsidRPr="00FA7E5E">
        <w:rPr>
          <w:spacing w:val="-1"/>
          <w:sz w:val="26"/>
          <w:szCs w:val="26"/>
        </w:rPr>
        <w:tab/>
        <w:t xml:space="preserve"> Информация об исполнении отдельных контрактов была  направлена в единую информационную систему с нарушением сроков, установленных ст.103 Федерального закона №44-ФЗ.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11.</w:t>
      </w:r>
      <w:r w:rsidRPr="00FA7E5E">
        <w:rPr>
          <w:spacing w:val="-1"/>
          <w:sz w:val="26"/>
          <w:szCs w:val="26"/>
        </w:rPr>
        <w:tab/>
        <w:t xml:space="preserve"> В ходе выборочного рассмотрения муниципальных контрактов установлено применение штрафных санкций к поставщикам при несвоевременном исполнении ими обязательств по заключенным контрактам.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12.</w:t>
      </w:r>
      <w:r w:rsidRPr="00FA7E5E">
        <w:rPr>
          <w:spacing w:val="-1"/>
          <w:sz w:val="26"/>
          <w:szCs w:val="26"/>
        </w:rPr>
        <w:tab/>
        <w:t>В ходе проверки расходования средств субсидии установлено, что средства были использованы на приобретение жилых помещений в многоквартирных домах у лиц, не являющихся застройщиками, а также на выплату лицам, в чьей собственности находятся жилые помещения, входящие в аварийный жилищный фонд,  в связи с чем, расходование средств субсидии соответствует целям п.4.3.8 соглашений, заключенных между Администрацией города Дзержинска и Министерством строительства Нижегородской области.</w:t>
      </w:r>
    </w:p>
    <w:p w:rsidR="00FA7E5E" w:rsidRP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13.</w:t>
      </w:r>
      <w:r w:rsidRPr="00FA7E5E">
        <w:rPr>
          <w:spacing w:val="-1"/>
          <w:sz w:val="26"/>
          <w:szCs w:val="26"/>
        </w:rPr>
        <w:tab/>
        <w:t xml:space="preserve">В части обязательств Администрации города Дзержинска, предусмотренных соглашениями, заключенными с Министерством строительства, Администрацией гор. </w:t>
      </w:r>
      <w:r w:rsidRPr="00FA7E5E">
        <w:rPr>
          <w:spacing w:val="-1"/>
          <w:sz w:val="26"/>
          <w:szCs w:val="26"/>
        </w:rPr>
        <w:lastRenderedPageBreak/>
        <w:t xml:space="preserve">Дзержинска обеспечена прозрачность в сфере предоставления, получения и использования предоставленной субсидии, обеспечено выполнение условий предоставления субсидий, обеспечено предоставление документов и отчетности в сроки и по формам, установленным соглашениями и ГП «Переселение граждан…».  </w:t>
      </w:r>
    </w:p>
    <w:p w:rsid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14.</w:t>
      </w:r>
      <w:r w:rsidRPr="00FA7E5E">
        <w:rPr>
          <w:spacing w:val="-1"/>
          <w:sz w:val="26"/>
          <w:szCs w:val="26"/>
        </w:rPr>
        <w:tab/>
        <w:t>В соответствии с требованиями п.4.3.21 Соглашений, муниципальным образованием обеспечено внесение сведений о ходе реализации ГП «Переселение граждан…» в информационную систему Фонда «АИС Реформа ЖКХ».</w:t>
      </w:r>
    </w:p>
    <w:p w:rsidR="00A92BF8" w:rsidRPr="00A92BF8" w:rsidRDefault="00A92BF8" w:rsidP="00FA7E5E">
      <w:pPr>
        <w:spacing w:line="276" w:lineRule="auto"/>
        <w:ind w:firstLine="709"/>
        <w:jc w:val="both"/>
        <w:rPr>
          <w:spacing w:val="-1"/>
          <w:sz w:val="14"/>
          <w:szCs w:val="14"/>
        </w:rPr>
      </w:pPr>
    </w:p>
    <w:p w:rsidR="00FA7E5E" w:rsidRDefault="00FA7E5E" w:rsidP="00FA7E5E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FA7E5E">
        <w:rPr>
          <w:spacing w:val="-1"/>
          <w:sz w:val="26"/>
          <w:szCs w:val="26"/>
        </w:rPr>
        <w:t>Контрольно-счетной палатой города Дзержинска</w:t>
      </w:r>
      <w:r>
        <w:rPr>
          <w:spacing w:val="-1"/>
          <w:sz w:val="26"/>
          <w:szCs w:val="26"/>
        </w:rPr>
        <w:t xml:space="preserve"> в адрес Администрации города Дзержинска направлен</w:t>
      </w:r>
      <w:r w:rsidR="001F621E">
        <w:rPr>
          <w:spacing w:val="-1"/>
          <w:sz w:val="26"/>
          <w:szCs w:val="26"/>
        </w:rPr>
        <w:t>ы</w:t>
      </w:r>
      <w:r>
        <w:rPr>
          <w:spacing w:val="-1"/>
          <w:sz w:val="26"/>
          <w:szCs w:val="26"/>
        </w:rPr>
        <w:t xml:space="preserve"> для сведения и использования в дальнейшей работе обзор нарушений и недостатков, выявленных при проведении в 2023 году </w:t>
      </w:r>
      <w:r w:rsidR="00A92BF8">
        <w:rPr>
          <w:spacing w:val="-1"/>
          <w:sz w:val="26"/>
          <w:szCs w:val="26"/>
        </w:rPr>
        <w:t xml:space="preserve">муниципальными образованиями Нижегородской области </w:t>
      </w:r>
      <w:r>
        <w:rPr>
          <w:spacing w:val="-1"/>
          <w:sz w:val="26"/>
          <w:szCs w:val="26"/>
        </w:rPr>
        <w:t>контрольных мероприяти</w:t>
      </w:r>
      <w:r w:rsidR="00A92BF8">
        <w:rPr>
          <w:spacing w:val="-1"/>
          <w:sz w:val="26"/>
          <w:szCs w:val="26"/>
        </w:rPr>
        <w:t xml:space="preserve">й по реализации  адресной программы «Переселение граждан из аварийного жилищного фонда..» составленный Контрольно-счетной палатой Нижегородской области. </w:t>
      </w:r>
      <w:r>
        <w:rPr>
          <w:spacing w:val="-1"/>
          <w:sz w:val="26"/>
          <w:szCs w:val="26"/>
        </w:rPr>
        <w:t xml:space="preserve"> </w:t>
      </w:r>
      <w:r w:rsidRPr="00FA7E5E">
        <w:rPr>
          <w:spacing w:val="-1"/>
          <w:sz w:val="26"/>
          <w:szCs w:val="26"/>
        </w:rPr>
        <w:t xml:space="preserve"> </w:t>
      </w:r>
    </w:p>
    <w:p w:rsidR="006362AD" w:rsidRPr="009A3FD1" w:rsidRDefault="006362AD" w:rsidP="006362AD">
      <w:pPr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9A3FD1">
        <w:rPr>
          <w:spacing w:val="-1"/>
          <w:sz w:val="26"/>
          <w:szCs w:val="26"/>
        </w:rPr>
        <w:t>Отчет о результатах контрольного мероприятия направлен главе города Дзерж</w:t>
      </w:r>
      <w:r w:rsidR="00C24333" w:rsidRPr="009A3FD1">
        <w:rPr>
          <w:spacing w:val="-1"/>
          <w:sz w:val="26"/>
          <w:szCs w:val="26"/>
        </w:rPr>
        <w:t xml:space="preserve">инска и </w:t>
      </w:r>
      <w:r w:rsidR="001157EA">
        <w:rPr>
          <w:spacing w:val="-1"/>
          <w:sz w:val="26"/>
          <w:szCs w:val="26"/>
        </w:rPr>
        <w:t>п</w:t>
      </w:r>
      <w:r w:rsidR="001F621E">
        <w:rPr>
          <w:spacing w:val="-1"/>
          <w:sz w:val="26"/>
          <w:szCs w:val="26"/>
        </w:rPr>
        <w:t>редседателю городской Д</w:t>
      </w:r>
      <w:bookmarkStart w:id="0" w:name="_GoBack"/>
      <w:bookmarkEnd w:id="0"/>
      <w:r w:rsidRPr="009A3FD1">
        <w:rPr>
          <w:spacing w:val="-1"/>
          <w:sz w:val="26"/>
          <w:szCs w:val="26"/>
        </w:rPr>
        <w:t>умы.</w:t>
      </w:r>
    </w:p>
    <w:p w:rsidR="006362AD" w:rsidRPr="009A3FD1" w:rsidRDefault="006362AD" w:rsidP="0024438C">
      <w:pPr>
        <w:spacing w:line="276" w:lineRule="auto"/>
        <w:ind w:firstLine="709"/>
        <w:jc w:val="both"/>
        <w:rPr>
          <w:sz w:val="26"/>
          <w:szCs w:val="26"/>
        </w:rPr>
      </w:pPr>
    </w:p>
    <w:sectPr w:rsidR="006362AD" w:rsidRPr="009A3FD1" w:rsidSect="00BF689C">
      <w:head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CE" w:rsidRDefault="009228CE" w:rsidP="00D44C0B">
      <w:r>
        <w:separator/>
      </w:r>
    </w:p>
  </w:endnote>
  <w:endnote w:type="continuationSeparator" w:id="0">
    <w:p w:rsidR="009228CE" w:rsidRDefault="009228CE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CE" w:rsidRDefault="009228CE" w:rsidP="00D44C0B">
      <w:r>
        <w:separator/>
      </w:r>
    </w:p>
  </w:footnote>
  <w:footnote w:type="continuationSeparator" w:id="0">
    <w:p w:rsidR="009228CE" w:rsidRDefault="009228CE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2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71"/>
    <w:multiLevelType w:val="hybridMultilevel"/>
    <w:tmpl w:val="568E15E6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61088"/>
    <w:multiLevelType w:val="hybridMultilevel"/>
    <w:tmpl w:val="786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6EC"/>
    <w:multiLevelType w:val="hybridMultilevel"/>
    <w:tmpl w:val="0BCAAD22"/>
    <w:lvl w:ilvl="0" w:tplc="2CE0F1F0">
      <w:start w:val="18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EE6709"/>
    <w:multiLevelType w:val="hybridMultilevel"/>
    <w:tmpl w:val="30E62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C2844"/>
    <w:multiLevelType w:val="hybridMultilevel"/>
    <w:tmpl w:val="DE924B7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12481"/>
    <w:multiLevelType w:val="hybridMultilevel"/>
    <w:tmpl w:val="8884959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F07141"/>
    <w:multiLevelType w:val="hybridMultilevel"/>
    <w:tmpl w:val="39865B46"/>
    <w:lvl w:ilvl="0" w:tplc="F35227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312D3D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B76C8"/>
    <w:multiLevelType w:val="hybridMultilevel"/>
    <w:tmpl w:val="A5B2187E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492F17"/>
    <w:multiLevelType w:val="hybridMultilevel"/>
    <w:tmpl w:val="9C0847BC"/>
    <w:lvl w:ilvl="0" w:tplc="E6F01A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F756B3"/>
    <w:multiLevelType w:val="hybridMultilevel"/>
    <w:tmpl w:val="6250F11A"/>
    <w:lvl w:ilvl="0" w:tplc="41E69E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ACF1FD5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4492E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5AC7AC6"/>
    <w:multiLevelType w:val="hybridMultilevel"/>
    <w:tmpl w:val="ABFECFFE"/>
    <w:lvl w:ilvl="0" w:tplc="BB1E1A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86434C6"/>
    <w:multiLevelType w:val="hybridMultilevel"/>
    <w:tmpl w:val="7B782CD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326006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93993"/>
    <w:multiLevelType w:val="hybridMultilevel"/>
    <w:tmpl w:val="454E33FE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C634D"/>
    <w:multiLevelType w:val="hybridMultilevel"/>
    <w:tmpl w:val="9B42A52A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7445FE"/>
    <w:multiLevelType w:val="hybridMultilevel"/>
    <w:tmpl w:val="ACE42656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2247"/>
    <w:multiLevelType w:val="hybridMultilevel"/>
    <w:tmpl w:val="06F8D022"/>
    <w:lvl w:ilvl="0" w:tplc="230028FE">
      <w:start w:val="18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8B8"/>
    <w:multiLevelType w:val="multilevel"/>
    <w:tmpl w:val="252C8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9D97702"/>
    <w:multiLevelType w:val="hybridMultilevel"/>
    <w:tmpl w:val="14764D8E"/>
    <w:lvl w:ilvl="0" w:tplc="90C2E0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460EE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135F5"/>
    <w:multiLevelType w:val="hybridMultilevel"/>
    <w:tmpl w:val="84D2D1D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77361F"/>
    <w:multiLevelType w:val="hybridMultilevel"/>
    <w:tmpl w:val="2E1A0AE0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4B10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430737C8"/>
    <w:multiLevelType w:val="hybridMultilevel"/>
    <w:tmpl w:val="7FF0B13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A23C00"/>
    <w:multiLevelType w:val="hybridMultilevel"/>
    <w:tmpl w:val="FB8E12F2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BD60D2"/>
    <w:multiLevelType w:val="hybridMultilevel"/>
    <w:tmpl w:val="F730B5AC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4F647DC2"/>
    <w:multiLevelType w:val="hybridMultilevel"/>
    <w:tmpl w:val="E9BC6162"/>
    <w:lvl w:ilvl="0" w:tplc="41E69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832F25"/>
    <w:multiLevelType w:val="hybridMultilevel"/>
    <w:tmpl w:val="B31A9B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55F26DDE"/>
    <w:multiLevelType w:val="hybridMultilevel"/>
    <w:tmpl w:val="9CAAA90A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D00F3"/>
    <w:multiLevelType w:val="hybridMultilevel"/>
    <w:tmpl w:val="DC401498"/>
    <w:lvl w:ilvl="0" w:tplc="0EF6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E05EC4"/>
    <w:multiLevelType w:val="hybridMultilevel"/>
    <w:tmpl w:val="70E69C6E"/>
    <w:lvl w:ilvl="0" w:tplc="9A7047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9A56A8"/>
    <w:multiLevelType w:val="multilevel"/>
    <w:tmpl w:val="CD42D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D8760E2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827831"/>
    <w:multiLevelType w:val="hybridMultilevel"/>
    <w:tmpl w:val="9C5CF994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952006"/>
    <w:multiLevelType w:val="hybridMultilevel"/>
    <w:tmpl w:val="B17673B0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A9158D"/>
    <w:multiLevelType w:val="hybridMultilevel"/>
    <w:tmpl w:val="DD2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23EAB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B2531C"/>
    <w:multiLevelType w:val="hybridMultilevel"/>
    <w:tmpl w:val="639C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0337DA"/>
    <w:multiLevelType w:val="multilevel"/>
    <w:tmpl w:val="D1CC3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2B83CFB"/>
    <w:multiLevelType w:val="hybridMultilevel"/>
    <w:tmpl w:val="29F4008E"/>
    <w:lvl w:ilvl="0" w:tplc="BDAE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8852C0"/>
    <w:multiLevelType w:val="hybridMultilevel"/>
    <w:tmpl w:val="99887130"/>
    <w:lvl w:ilvl="0" w:tplc="BB1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D43ED"/>
    <w:multiLevelType w:val="hybridMultilevel"/>
    <w:tmpl w:val="751293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6">
    <w:nsid w:val="7897121D"/>
    <w:multiLevelType w:val="hybridMultilevel"/>
    <w:tmpl w:val="C36C84C4"/>
    <w:lvl w:ilvl="0" w:tplc="30C0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A83B9A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F147BF"/>
    <w:multiLevelType w:val="hybridMultilevel"/>
    <w:tmpl w:val="50507962"/>
    <w:lvl w:ilvl="0" w:tplc="41E69E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46"/>
  </w:num>
  <w:num w:numId="6">
    <w:abstractNumId w:val="8"/>
  </w:num>
  <w:num w:numId="7">
    <w:abstractNumId w:val="9"/>
  </w:num>
  <w:num w:numId="8">
    <w:abstractNumId w:val="48"/>
  </w:num>
  <w:num w:numId="9">
    <w:abstractNumId w:val="6"/>
  </w:num>
  <w:num w:numId="10">
    <w:abstractNumId w:val="29"/>
  </w:num>
  <w:num w:numId="11">
    <w:abstractNumId w:val="10"/>
  </w:num>
  <w:num w:numId="12">
    <w:abstractNumId w:val="18"/>
  </w:num>
  <w:num w:numId="13">
    <w:abstractNumId w:val="3"/>
  </w:num>
  <w:num w:numId="14">
    <w:abstractNumId w:val="30"/>
  </w:num>
  <w:num w:numId="15">
    <w:abstractNumId w:val="41"/>
  </w:num>
  <w:num w:numId="16">
    <w:abstractNumId w:val="39"/>
  </w:num>
  <w:num w:numId="17">
    <w:abstractNumId w:val="43"/>
  </w:num>
  <w:num w:numId="18">
    <w:abstractNumId w:val="24"/>
  </w:num>
  <w:num w:numId="19">
    <w:abstractNumId w:val="32"/>
  </w:num>
  <w:num w:numId="20">
    <w:abstractNumId w:val="0"/>
  </w:num>
  <w:num w:numId="21">
    <w:abstractNumId w:val="14"/>
  </w:num>
  <w:num w:numId="22">
    <w:abstractNumId w:val="44"/>
  </w:num>
  <w:num w:numId="23">
    <w:abstractNumId w:val="1"/>
  </w:num>
  <w:num w:numId="24">
    <w:abstractNumId w:val="5"/>
  </w:num>
  <w:num w:numId="25">
    <w:abstractNumId w:val="42"/>
  </w:num>
  <w:num w:numId="26">
    <w:abstractNumId w:val="36"/>
  </w:num>
  <w:num w:numId="27">
    <w:abstractNumId w:val="38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34"/>
  </w:num>
  <w:num w:numId="33">
    <w:abstractNumId w:val="17"/>
  </w:num>
  <w:num w:numId="34">
    <w:abstractNumId w:val="33"/>
  </w:num>
  <w:num w:numId="35">
    <w:abstractNumId w:val="22"/>
  </w:num>
  <w:num w:numId="36">
    <w:abstractNumId w:val="12"/>
  </w:num>
  <w:num w:numId="37">
    <w:abstractNumId w:val="4"/>
  </w:num>
  <w:num w:numId="38">
    <w:abstractNumId w:val="21"/>
  </w:num>
  <w:num w:numId="39">
    <w:abstractNumId w:val="2"/>
  </w:num>
  <w:num w:numId="40">
    <w:abstractNumId w:val="13"/>
  </w:num>
  <w:num w:numId="41">
    <w:abstractNumId w:val="28"/>
  </w:num>
  <w:num w:numId="42">
    <w:abstractNumId w:val="45"/>
  </w:num>
  <w:num w:numId="43">
    <w:abstractNumId w:val="25"/>
  </w:num>
  <w:num w:numId="44">
    <w:abstractNumId w:val="37"/>
  </w:num>
  <w:num w:numId="45">
    <w:abstractNumId w:val="35"/>
  </w:num>
  <w:num w:numId="46">
    <w:abstractNumId w:val="7"/>
  </w:num>
  <w:num w:numId="47">
    <w:abstractNumId w:val="11"/>
  </w:num>
  <w:num w:numId="48">
    <w:abstractNumId w:val="40"/>
  </w:num>
  <w:num w:numId="49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BB6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014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7EA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344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5F9A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32F3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1E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8C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488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2F48"/>
    <w:rsid w:val="0027318F"/>
    <w:rsid w:val="002734B7"/>
    <w:rsid w:val="00273C39"/>
    <w:rsid w:val="00273DAE"/>
    <w:rsid w:val="002744B1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2F7C8A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2EE7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7B2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78E"/>
    <w:rsid w:val="00397A22"/>
    <w:rsid w:val="00397B7C"/>
    <w:rsid w:val="00397F23"/>
    <w:rsid w:val="003A0004"/>
    <w:rsid w:val="003A0607"/>
    <w:rsid w:val="003A0CEF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6B8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09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161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34C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3C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B4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2AD"/>
    <w:rsid w:val="00636632"/>
    <w:rsid w:val="00636CEC"/>
    <w:rsid w:val="00636F32"/>
    <w:rsid w:val="0063724E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0431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B28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A40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154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007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0FC1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0A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8A6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268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B33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4A07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6F5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87C"/>
    <w:rsid w:val="00920DFB"/>
    <w:rsid w:val="00920FF2"/>
    <w:rsid w:val="00921992"/>
    <w:rsid w:val="00921DC4"/>
    <w:rsid w:val="0092218A"/>
    <w:rsid w:val="009228CE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0A9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3FD1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3FA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06F0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0BB0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02D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1C66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70C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BF8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6FB4"/>
    <w:rsid w:val="00AA73D1"/>
    <w:rsid w:val="00AA797D"/>
    <w:rsid w:val="00AA7DF1"/>
    <w:rsid w:val="00AB0633"/>
    <w:rsid w:val="00AB0711"/>
    <w:rsid w:val="00AB08C9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C60"/>
    <w:rsid w:val="00B05FE2"/>
    <w:rsid w:val="00B06588"/>
    <w:rsid w:val="00B06966"/>
    <w:rsid w:val="00B06A7F"/>
    <w:rsid w:val="00B06B83"/>
    <w:rsid w:val="00B06C76"/>
    <w:rsid w:val="00B07374"/>
    <w:rsid w:val="00B07C95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245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47F9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1BE"/>
    <w:rsid w:val="00B9750D"/>
    <w:rsid w:val="00B9759B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689C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333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4C1F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5E2C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81A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489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6BAB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E7C53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1A9A"/>
    <w:rsid w:val="00F13227"/>
    <w:rsid w:val="00F13914"/>
    <w:rsid w:val="00F13BFA"/>
    <w:rsid w:val="00F13FC0"/>
    <w:rsid w:val="00F14080"/>
    <w:rsid w:val="00F14CA1"/>
    <w:rsid w:val="00F152EE"/>
    <w:rsid w:val="00F1559F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0F04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5E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CF5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889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220D2-A70B-44DF-9D56-5994F192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Игоревна Топко</cp:lastModifiedBy>
  <cp:revision>3</cp:revision>
  <cp:lastPrinted>2021-04-08T07:59:00Z</cp:lastPrinted>
  <dcterms:created xsi:type="dcterms:W3CDTF">2024-02-15T13:24:00Z</dcterms:created>
  <dcterms:modified xsi:type="dcterms:W3CDTF">2024-02-15T13:27:00Z</dcterms:modified>
</cp:coreProperties>
</file>